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741CD">
      <w:pPr>
        <w:rPr>
          <w:rFonts w:hint="eastAsia" w:ascii="黑体" w:hAnsi="黑体" w:eastAsia="黑体"/>
          <w:sz w:val="32"/>
          <w:szCs w:val="32"/>
        </w:rPr>
      </w:pPr>
    </w:p>
    <w:p w14:paraId="1AF44B56">
      <w:pPr>
        <w:jc w:val="center"/>
        <w:rPr>
          <w:rFonts w:hint="eastAsia" w:ascii="方正小标宋_GBK" w:hAnsi="宋体" w:eastAsia="方正小标宋_GBK"/>
          <w:sz w:val="44"/>
          <w:szCs w:val="44"/>
        </w:rPr>
      </w:pPr>
    </w:p>
    <w:p w14:paraId="28FAF17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木垒哈萨克自治县幼儿园</w:t>
      </w:r>
    </w:p>
    <w:p w14:paraId="3E0D55A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09C3DE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4FF1338">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891187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163A3BC">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68D205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F1F6B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35A8E5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41377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9DC1F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CAF503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CA5858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50173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3B20FB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111D42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404623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7398CFC">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5E27CA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CD616F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C3B25C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425BB8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69821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54EF36E">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0DDA9F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2CF1F6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EF3CF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A6FA2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7C3AA4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868D37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8855C5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F35375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79929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9E64AFC">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2D77C65">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FCBCFD0">
      <w:r>
        <w:rPr>
          <w:rFonts w:hint="eastAsia" w:ascii="仿宋_GB2312" w:hAnsi="仿宋_GB2312" w:eastAsia="仿宋_GB2312" w:cs="仿宋_GB2312"/>
          <w:sz w:val="32"/>
          <w:szCs w:val="32"/>
        </w:rPr>
        <w:fldChar w:fldCharType="end"/>
      </w:r>
    </w:p>
    <w:p w14:paraId="68F01CFA">
      <w:pPr>
        <w:rPr>
          <w:rFonts w:ascii="仿宋_GB2312" w:eastAsia="仿宋_GB2312"/>
          <w:sz w:val="32"/>
          <w:szCs w:val="32"/>
        </w:rPr>
      </w:pPr>
      <w:r>
        <w:rPr>
          <w:rFonts w:hint="eastAsia" w:ascii="仿宋_GB2312" w:eastAsia="仿宋_GB2312"/>
          <w:sz w:val="32"/>
          <w:szCs w:val="32"/>
        </w:rPr>
        <w:br w:type="page"/>
      </w:r>
    </w:p>
    <w:p w14:paraId="5E949F6D">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06B4F510">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72A1FD5">
      <w:pPr>
        <w:ind w:firstLine="640" w:firstLineChars="200"/>
        <w:rPr>
          <w:rFonts w:ascii="仿宋_GB2312" w:eastAsia="仿宋_GB2312"/>
          <w:sz w:val="32"/>
          <w:szCs w:val="32"/>
        </w:rPr>
      </w:pPr>
      <w:r>
        <w:rPr>
          <w:rFonts w:hint="eastAsia" w:ascii="仿宋_GB2312" w:eastAsia="仿宋_GB2312"/>
          <w:sz w:val="32"/>
          <w:szCs w:val="32"/>
        </w:rPr>
        <w:t>木垒哈萨克自治县幼儿园</w:t>
      </w:r>
      <w:r>
        <w:rPr>
          <w:rFonts w:hint="eastAsia" w:ascii="仿宋_GB2312" w:hAnsi="黑体" w:eastAsia="仿宋_GB2312" w:cs="宋体"/>
          <w:bCs/>
          <w:kern w:val="0"/>
          <w:sz w:val="32"/>
          <w:szCs w:val="32"/>
        </w:rPr>
        <w:t>负责为学龄前儿童提供保育和教育服务。以培养幼儿创新精神和实践动手能力为核心，结合主题活动的开展和区域环境的布置进一步增强幼儿动手操作的兴趣，给每个幼儿提供充分动脑动手的机会，孩子们在参与的过程中，</w:t>
      </w:r>
      <w:r>
        <w:rPr>
          <w:rFonts w:hint="eastAsia" w:ascii="仿宋_GB2312" w:hAnsi="黑体" w:eastAsia="仿宋_GB2312" w:cs="宋体"/>
          <w:bCs/>
          <w:kern w:val="0"/>
          <w:sz w:val="32"/>
          <w:szCs w:val="32"/>
          <w:lang w:eastAsia="zh-CN"/>
        </w:rPr>
        <w:t>主动地</w:t>
      </w:r>
      <w:r>
        <w:rPr>
          <w:rFonts w:hint="eastAsia" w:ascii="仿宋_GB2312" w:hAnsi="黑体" w:eastAsia="仿宋_GB2312" w:cs="宋体"/>
          <w:bCs/>
          <w:kern w:val="0"/>
          <w:sz w:val="32"/>
          <w:szCs w:val="32"/>
        </w:rPr>
        <w:t>去思考、去实践，感受其中的乐趣。建构健康、平等、和谐的师幼环境，要求教师爱护、尊重、赏识每一个孩子，平等、宽容地对待每一个孩子，站在孩子的立场，积极鼓励孩子，努力使他们成为自信、活泼、健康、快乐的孩子</w:t>
      </w:r>
      <w:r>
        <w:rPr>
          <w:rFonts w:hint="eastAsia" w:ascii="仿宋_GB2312" w:eastAsia="仿宋_GB2312"/>
          <w:sz w:val="32"/>
          <w:szCs w:val="32"/>
        </w:rPr>
        <w:t>。</w:t>
      </w:r>
    </w:p>
    <w:p w14:paraId="561410FC">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ADC6EE2">
      <w:pPr>
        <w:ind w:firstLine="640" w:firstLineChars="200"/>
        <w:jc w:val="left"/>
        <w:rPr>
          <w:rFonts w:hint="eastAsia" w:ascii="仿宋_GB2312" w:hAnsi="黑体" w:eastAsia="仿宋_GB2312" w:cs="宋体"/>
          <w:bCs/>
          <w:kern w:val="0"/>
          <w:sz w:val="32"/>
          <w:szCs w:val="32"/>
        </w:rPr>
      </w:pPr>
      <w:r>
        <w:rPr>
          <w:rFonts w:hint="eastAsia" w:ascii="仿宋_GB2312" w:eastAsia="仿宋_GB2312"/>
          <w:sz w:val="32"/>
          <w:szCs w:val="32"/>
        </w:rPr>
        <w:t>木垒哈萨克自治县幼儿园2023年度，实有人数</w:t>
      </w:r>
      <w:r>
        <w:rPr>
          <w:rFonts w:hint="eastAsia" w:ascii="仿宋_GB2312" w:eastAsia="仿宋_GB2312"/>
          <w:sz w:val="32"/>
          <w:szCs w:val="32"/>
          <w:lang w:val="zh-CN"/>
        </w:rPr>
        <w:t>74</w:t>
      </w:r>
      <w:r>
        <w:rPr>
          <w:rFonts w:hint="eastAsia" w:ascii="仿宋_GB2312" w:eastAsia="仿宋_GB2312"/>
          <w:sz w:val="32"/>
          <w:szCs w:val="32"/>
        </w:rPr>
        <w:t>人，</w:t>
      </w:r>
      <w:r>
        <w:rPr>
          <w:rFonts w:hint="eastAsia" w:ascii="仿宋_GB2312" w:hAnsi="黑体" w:eastAsia="仿宋_GB2312" w:cs="宋体"/>
          <w:bCs/>
          <w:kern w:val="0"/>
          <w:sz w:val="32"/>
          <w:szCs w:val="32"/>
        </w:rPr>
        <w:t>其中：在职人员40人，离休人员0人，退休人员34人。</w:t>
      </w:r>
    </w:p>
    <w:p w14:paraId="1EBF0736">
      <w:pPr>
        <w:ind w:firstLine="640" w:firstLineChars="200"/>
        <w:rPr>
          <w:rFonts w:hint="eastAsia" w:ascii="仿宋_GB2312" w:hAnsi="黑体" w:eastAsia="仿宋_GB2312" w:cs="宋体"/>
          <w:bCs/>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单位无下属预算单位，下设4个处室，分别是：教务室、总务室、财务室、德育室。</w:t>
      </w:r>
    </w:p>
    <w:p w14:paraId="047067BB">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67483198">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57A38B0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ascii="仿宋_GB2312" w:eastAsia="仿宋_GB2312"/>
          <w:sz w:val="32"/>
          <w:szCs w:val="32"/>
        </w:rPr>
      </w:pPr>
      <w:r>
        <w:rPr>
          <w:rFonts w:hint="eastAsia" w:ascii="仿宋_GB2312" w:eastAsia="仿宋_GB2312"/>
          <w:sz w:val="32"/>
          <w:szCs w:val="32"/>
        </w:rPr>
        <w:t>2023年度收入总计953.91万元，其中：本年收入合计948.67万元，使用非财政拨款结余0.00万元，年初结转和结余5.23万元。</w:t>
      </w:r>
    </w:p>
    <w:p w14:paraId="381A7513">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ascii="仿宋_GB2312" w:eastAsia="仿宋_GB2312"/>
          <w:sz w:val="32"/>
          <w:szCs w:val="32"/>
        </w:rPr>
      </w:pPr>
      <w:r>
        <w:rPr>
          <w:rFonts w:hint="eastAsia" w:ascii="仿宋_GB2312" w:eastAsia="仿宋_GB2312"/>
          <w:sz w:val="32"/>
          <w:szCs w:val="32"/>
        </w:rPr>
        <w:t>2023年度支出总计953.91万元，其中：本年支出合计948.42万元，结余分配0.00万元，年末结转和结余5.49万元。</w:t>
      </w:r>
    </w:p>
    <w:p w14:paraId="6A0A1D5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增加98.71万元</w:t>
      </w:r>
      <w:r>
        <w:rPr>
          <w:rFonts w:hint="eastAsia" w:ascii="仿宋_GB2312" w:eastAsia="仿宋_GB2312"/>
          <w:sz w:val="32"/>
          <w:szCs w:val="32"/>
        </w:rPr>
        <w:t>，增长11.54%，主要原因是：</w:t>
      </w:r>
      <w:r>
        <w:rPr>
          <w:rFonts w:hint="eastAsia" w:ascii="仿宋_GB2312" w:eastAsia="仿宋_GB2312"/>
          <w:sz w:val="32"/>
          <w:szCs w:val="32"/>
          <w:lang w:val="en-US" w:eastAsia="zh-CN"/>
        </w:rPr>
        <w:t>单位本年</w:t>
      </w:r>
      <w:r>
        <w:rPr>
          <w:rFonts w:hint="eastAsia" w:ascii="仿宋_GB2312" w:eastAsia="仿宋_GB2312"/>
          <w:sz w:val="32"/>
          <w:szCs w:val="32"/>
        </w:rPr>
        <w:t>艰苦边远地区津贴</w:t>
      </w:r>
      <w:r>
        <w:rPr>
          <w:rFonts w:hint="eastAsia" w:ascii="仿宋_GB2312" w:eastAsia="仿宋_GB2312"/>
          <w:sz w:val="32"/>
          <w:szCs w:val="32"/>
          <w:lang w:val="en-US" w:eastAsia="zh-CN"/>
        </w:rPr>
        <w:t>补贴项目经费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校园</w:t>
      </w:r>
      <w:r>
        <w:rPr>
          <w:rFonts w:hint="eastAsia" w:ascii="仿宋_GB2312" w:eastAsia="仿宋_GB2312"/>
          <w:sz w:val="32"/>
          <w:szCs w:val="32"/>
          <w:lang w:val="en-US" w:eastAsia="zh-CN"/>
        </w:rPr>
        <w:t>校舍</w:t>
      </w:r>
      <w:r>
        <w:rPr>
          <w:rFonts w:hint="eastAsia" w:ascii="仿宋_GB2312" w:eastAsia="仿宋_GB2312"/>
          <w:sz w:val="32"/>
          <w:szCs w:val="32"/>
        </w:rPr>
        <w:t>维修</w:t>
      </w:r>
      <w:r>
        <w:rPr>
          <w:rFonts w:hint="eastAsia" w:ascii="仿宋_GB2312" w:eastAsia="仿宋_GB2312"/>
          <w:sz w:val="32"/>
          <w:szCs w:val="32"/>
          <w:lang w:val="en-US" w:eastAsia="zh-CN"/>
        </w:rPr>
        <w:t>改造</w:t>
      </w:r>
      <w:r>
        <w:rPr>
          <w:rFonts w:hint="eastAsia" w:ascii="仿宋_GB2312" w:eastAsia="仿宋_GB2312"/>
          <w:sz w:val="32"/>
          <w:szCs w:val="32"/>
        </w:rPr>
        <w:t>项目经费</w:t>
      </w:r>
      <w:r>
        <w:rPr>
          <w:rFonts w:hint="eastAsia" w:ascii="仿宋_GB2312" w:eastAsia="仿宋_GB2312"/>
          <w:sz w:val="32"/>
          <w:szCs w:val="32"/>
          <w:lang w:val="en-US" w:eastAsia="zh-CN"/>
        </w:rPr>
        <w:t>增加</w:t>
      </w:r>
      <w:r>
        <w:rPr>
          <w:rFonts w:hint="eastAsia" w:ascii="仿宋_GB2312" w:eastAsia="仿宋_GB2312"/>
          <w:sz w:val="32"/>
          <w:szCs w:val="32"/>
        </w:rPr>
        <w:t>。</w:t>
      </w:r>
    </w:p>
    <w:p w14:paraId="2114585E">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248EC5BF">
      <w:pPr>
        <w:ind w:firstLine="640" w:firstLineChars="200"/>
        <w:jc w:val="left"/>
        <w:rPr>
          <w:rFonts w:ascii="仿宋_GB2312" w:eastAsia="仿宋_GB2312"/>
          <w:sz w:val="32"/>
          <w:szCs w:val="32"/>
        </w:rPr>
      </w:pPr>
      <w:r>
        <w:rPr>
          <w:rFonts w:hint="eastAsia" w:ascii="仿宋_GB2312" w:eastAsia="仿宋_GB2312"/>
          <w:sz w:val="32"/>
          <w:szCs w:val="32"/>
        </w:rPr>
        <w:t>本年收入948.67万元，其中：财政拨款收入</w:t>
      </w:r>
      <w:r>
        <w:rPr>
          <w:rFonts w:hint="eastAsia" w:ascii="仿宋_GB2312" w:eastAsia="仿宋_GB2312"/>
          <w:sz w:val="32"/>
          <w:szCs w:val="32"/>
          <w:lang w:val="zh-CN"/>
        </w:rPr>
        <w:t>947.86</w:t>
      </w:r>
      <w:r>
        <w:rPr>
          <w:rFonts w:hint="eastAsia" w:ascii="仿宋_GB2312" w:eastAsia="仿宋_GB2312"/>
          <w:sz w:val="32"/>
          <w:szCs w:val="32"/>
        </w:rPr>
        <w:t>万元，占</w:t>
      </w:r>
      <w:r>
        <w:rPr>
          <w:rFonts w:hint="eastAsia" w:ascii="仿宋_GB2312" w:eastAsia="仿宋_GB2312"/>
          <w:sz w:val="32"/>
          <w:szCs w:val="32"/>
          <w:lang w:val="zh-CN"/>
        </w:rPr>
        <w:t>99.91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0.81</w:t>
      </w:r>
      <w:r>
        <w:rPr>
          <w:rFonts w:hint="eastAsia" w:ascii="仿宋_GB2312" w:eastAsia="仿宋_GB2312"/>
          <w:sz w:val="32"/>
          <w:szCs w:val="32"/>
        </w:rPr>
        <w:t>万元，占</w:t>
      </w:r>
      <w:r>
        <w:rPr>
          <w:rFonts w:hint="eastAsia" w:ascii="仿宋_GB2312" w:eastAsia="仿宋_GB2312"/>
          <w:sz w:val="32"/>
          <w:szCs w:val="32"/>
          <w:lang w:val="zh-CN"/>
        </w:rPr>
        <w:t>0.09</w:t>
      </w:r>
      <w:r>
        <w:rPr>
          <w:rFonts w:hint="eastAsia" w:ascii="仿宋_GB2312" w:eastAsia="仿宋_GB2312"/>
          <w:sz w:val="32"/>
          <w:szCs w:val="32"/>
        </w:rPr>
        <w:t>%。</w:t>
      </w:r>
    </w:p>
    <w:p w14:paraId="144501B0">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65E737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本年支出948.42万元，其中：基本支出809.99万元，占85.40%；项目支出138.43万元，占14.60%；上缴上级支出0.00万元，占0.00%；经营支出0.00万元，占0.00%；对附属单位补助支出0.00万元，占0.00%。</w:t>
      </w:r>
    </w:p>
    <w:p w14:paraId="60813EE0">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956079E">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947.86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947.86</w:t>
      </w:r>
      <w:r>
        <w:rPr>
          <w:rFonts w:hint="eastAsia" w:ascii="仿宋_GB2312" w:eastAsia="仿宋_GB2312"/>
          <w:sz w:val="32"/>
          <w:szCs w:val="32"/>
        </w:rPr>
        <w:t>万元。财政拨款支出总计</w:t>
      </w:r>
      <w:r>
        <w:rPr>
          <w:rFonts w:hint="eastAsia" w:ascii="仿宋_GB2312" w:eastAsia="仿宋_GB2312"/>
          <w:sz w:val="32"/>
          <w:szCs w:val="32"/>
          <w:lang w:val="zh-CN"/>
        </w:rPr>
        <w:t>947.86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947.86</w:t>
      </w:r>
      <w:r>
        <w:rPr>
          <w:rFonts w:hint="eastAsia" w:ascii="仿宋_GB2312" w:eastAsia="仿宋_GB2312"/>
          <w:sz w:val="32"/>
          <w:szCs w:val="32"/>
        </w:rPr>
        <w:t>万元。</w:t>
      </w:r>
    </w:p>
    <w:p w14:paraId="546F15FC">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增加103.96万元</w:t>
      </w:r>
      <w:r>
        <w:rPr>
          <w:rFonts w:hint="eastAsia" w:ascii="仿宋_GB2312" w:eastAsia="仿宋_GB2312"/>
          <w:sz w:val="32"/>
          <w:szCs w:val="32"/>
        </w:rPr>
        <w:t>，增长12.32%,主要原因是：</w:t>
      </w:r>
      <w:r>
        <w:rPr>
          <w:rFonts w:hint="eastAsia" w:ascii="仿宋_GB2312" w:eastAsia="仿宋_GB2312"/>
          <w:sz w:val="32"/>
          <w:szCs w:val="32"/>
          <w:lang w:val="en-US" w:eastAsia="zh-CN"/>
        </w:rPr>
        <w:t>单位本年</w:t>
      </w:r>
      <w:r>
        <w:rPr>
          <w:rFonts w:hint="eastAsia" w:ascii="仿宋_GB2312" w:eastAsia="仿宋_GB2312"/>
          <w:sz w:val="32"/>
          <w:szCs w:val="32"/>
        </w:rPr>
        <w:t>艰苦边远地区津贴</w:t>
      </w:r>
      <w:r>
        <w:rPr>
          <w:rFonts w:hint="eastAsia" w:ascii="仿宋_GB2312" w:eastAsia="仿宋_GB2312"/>
          <w:sz w:val="32"/>
          <w:szCs w:val="32"/>
          <w:lang w:val="en-US" w:eastAsia="zh-CN"/>
        </w:rPr>
        <w:t>补贴项目经费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校园</w:t>
      </w:r>
      <w:r>
        <w:rPr>
          <w:rFonts w:hint="eastAsia" w:ascii="仿宋_GB2312" w:eastAsia="仿宋_GB2312"/>
          <w:sz w:val="32"/>
          <w:szCs w:val="32"/>
          <w:lang w:val="en-US" w:eastAsia="zh-CN"/>
        </w:rPr>
        <w:t>校舍</w:t>
      </w:r>
      <w:r>
        <w:rPr>
          <w:rFonts w:hint="eastAsia" w:ascii="仿宋_GB2312" w:eastAsia="仿宋_GB2312"/>
          <w:sz w:val="32"/>
          <w:szCs w:val="32"/>
        </w:rPr>
        <w:t>维修</w:t>
      </w:r>
      <w:r>
        <w:rPr>
          <w:rFonts w:hint="eastAsia" w:ascii="仿宋_GB2312" w:eastAsia="仿宋_GB2312"/>
          <w:sz w:val="32"/>
          <w:szCs w:val="32"/>
          <w:lang w:val="en-US" w:eastAsia="zh-CN"/>
        </w:rPr>
        <w:t>改造</w:t>
      </w:r>
      <w:r>
        <w:rPr>
          <w:rFonts w:hint="eastAsia" w:ascii="仿宋_GB2312" w:eastAsia="仿宋_GB2312"/>
          <w:sz w:val="32"/>
          <w:szCs w:val="32"/>
        </w:rPr>
        <w:t>项目经费</w:t>
      </w:r>
      <w:r>
        <w:rPr>
          <w:rFonts w:hint="eastAsia" w:ascii="仿宋_GB2312" w:eastAsia="仿宋_GB231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799.46</w:t>
      </w:r>
      <w:r>
        <w:rPr>
          <w:rFonts w:hint="eastAsia" w:ascii="仿宋_GB2312" w:eastAsia="仿宋_GB2312"/>
          <w:sz w:val="32"/>
          <w:szCs w:val="32"/>
        </w:rPr>
        <w:t>万元，决算数</w:t>
      </w:r>
      <w:r>
        <w:rPr>
          <w:rFonts w:hint="eastAsia" w:ascii="仿宋_GB2312" w:eastAsia="仿宋_GB2312"/>
          <w:sz w:val="32"/>
          <w:szCs w:val="32"/>
          <w:lang w:val="zh-CN"/>
        </w:rPr>
        <w:t>947.86</w:t>
      </w:r>
      <w:r>
        <w:rPr>
          <w:rFonts w:hint="eastAsia" w:ascii="仿宋_GB2312" w:eastAsia="仿宋_GB2312"/>
          <w:sz w:val="32"/>
          <w:szCs w:val="32"/>
        </w:rPr>
        <w:t>万元，预决算差异率18.56%，主要原因是：</w:t>
      </w:r>
      <w:r>
        <w:rPr>
          <w:rFonts w:hint="eastAsia" w:ascii="仿宋_GB2312" w:eastAsia="仿宋_GB2312"/>
          <w:sz w:val="32"/>
          <w:szCs w:val="32"/>
          <w:lang w:val="en-US" w:eastAsia="zh-CN"/>
        </w:rPr>
        <w:t>年中</w:t>
      </w:r>
      <w:r>
        <w:rPr>
          <w:rFonts w:hint="eastAsia" w:ascii="仿宋_GB2312" w:eastAsia="仿宋_GB2312"/>
          <w:sz w:val="32"/>
          <w:szCs w:val="32"/>
        </w:rPr>
        <w:t>追加校园</w:t>
      </w:r>
      <w:r>
        <w:rPr>
          <w:rFonts w:hint="eastAsia" w:ascii="仿宋_GB2312" w:eastAsia="仿宋_GB2312"/>
          <w:sz w:val="32"/>
          <w:szCs w:val="32"/>
          <w:lang w:val="en-US" w:eastAsia="zh-CN"/>
        </w:rPr>
        <w:t>校舍</w:t>
      </w:r>
      <w:r>
        <w:rPr>
          <w:rFonts w:hint="eastAsia" w:ascii="仿宋_GB2312" w:eastAsia="仿宋_GB2312"/>
          <w:sz w:val="32"/>
          <w:szCs w:val="32"/>
        </w:rPr>
        <w:t>维修</w:t>
      </w:r>
      <w:r>
        <w:rPr>
          <w:rFonts w:hint="eastAsia" w:ascii="仿宋_GB2312" w:eastAsia="仿宋_GB2312"/>
          <w:sz w:val="32"/>
          <w:szCs w:val="32"/>
          <w:lang w:val="en-US" w:eastAsia="zh-CN"/>
        </w:rPr>
        <w:t>改造</w:t>
      </w:r>
      <w:r>
        <w:rPr>
          <w:rFonts w:hint="eastAsia" w:ascii="仿宋_GB2312" w:eastAsia="仿宋_GB2312"/>
          <w:sz w:val="32"/>
          <w:szCs w:val="32"/>
        </w:rPr>
        <w:t>项目经费</w:t>
      </w:r>
      <w:r>
        <w:rPr>
          <w:rFonts w:hint="eastAsia" w:ascii="仿宋_GB2312" w:eastAsia="仿宋_GB2312"/>
          <w:sz w:val="32"/>
          <w:szCs w:val="32"/>
          <w:lang w:eastAsia="zh-CN"/>
        </w:rPr>
        <w:t>、</w:t>
      </w:r>
      <w:r>
        <w:rPr>
          <w:rFonts w:hint="eastAsia" w:ascii="仿宋_GB2312" w:eastAsia="仿宋_GB2312"/>
          <w:sz w:val="32"/>
          <w:szCs w:val="32"/>
        </w:rPr>
        <w:t>艰苦边远地区津贴</w:t>
      </w:r>
      <w:r>
        <w:rPr>
          <w:rFonts w:hint="eastAsia" w:ascii="仿宋_GB2312" w:eastAsia="仿宋_GB2312"/>
          <w:sz w:val="32"/>
          <w:szCs w:val="32"/>
          <w:lang w:val="en-US" w:eastAsia="zh-CN"/>
        </w:rPr>
        <w:t>补贴项目经费</w:t>
      </w:r>
      <w:r>
        <w:rPr>
          <w:rFonts w:hint="eastAsia" w:ascii="仿宋_GB2312" w:eastAsia="仿宋_GB2312"/>
          <w:sz w:val="32"/>
          <w:szCs w:val="32"/>
        </w:rPr>
        <w:t>。</w:t>
      </w:r>
    </w:p>
    <w:p w14:paraId="44AB395E">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77C4964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BC6E8E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eastAsia="仿宋_GB2312"/>
          <w:sz w:val="32"/>
          <w:szCs w:val="32"/>
        </w:rPr>
      </w:pPr>
      <w:r>
        <w:rPr>
          <w:rFonts w:hint="eastAsia" w:ascii="仿宋_GB2312" w:eastAsia="仿宋_GB2312"/>
          <w:sz w:val="32"/>
          <w:szCs w:val="32"/>
        </w:rPr>
        <w:t>2023年度一般公共预算财政拨款支出947.86万元，占本年支出合计的</w:t>
      </w:r>
      <w:r>
        <w:rPr>
          <w:rFonts w:hint="eastAsia" w:ascii="仿宋_GB2312" w:eastAsia="仿宋_GB2312"/>
          <w:sz w:val="32"/>
          <w:szCs w:val="32"/>
          <w:lang w:val="zh-CN"/>
        </w:rPr>
        <w:t>99.94%</w:t>
      </w:r>
      <w:r>
        <w:rPr>
          <w:rFonts w:hint="eastAsia" w:ascii="仿宋_GB2312" w:eastAsia="仿宋_GB2312"/>
          <w:sz w:val="32"/>
          <w:szCs w:val="32"/>
        </w:rPr>
        <w:t>。与上年相比，</w:t>
      </w:r>
      <w:r>
        <w:rPr>
          <w:rFonts w:hint="eastAsia" w:ascii="仿宋_GB2312" w:eastAsia="仿宋_GB2312"/>
          <w:sz w:val="32"/>
          <w:szCs w:val="32"/>
          <w:lang w:val="zh-CN"/>
        </w:rPr>
        <w:t>增加103.96万元</w:t>
      </w:r>
      <w:r>
        <w:rPr>
          <w:rFonts w:hint="eastAsia" w:ascii="仿宋_GB2312" w:eastAsia="仿宋_GB2312"/>
          <w:sz w:val="32"/>
          <w:szCs w:val="32"/>
        </w:rPr>
        <w:t>，增长12.32%,主要原因是：</w:t>
      </w:r>
      <w:r>
        <w:rPr>
          <w:rFonts w:hint="eastAsia" w:ascii="仿宋_GB2312" w:eastAsia="仿宋_GB2312"/>
          <w:sz w:val="32"/>
          <w:szCs w:val="32"/>
          <w:lang w:val="en-US" w:eastAsia="zh-CN"/>
        </w:rPr>
        <w:t>单位本年</w:t>
      </w:r>
      <w:r>
        <w:rPr>
          <w:rFonts w:hint="eastAsia" w:ascii="仿宋_GB2312" w:eastAsia="仿宋_GB2312"/>
          <w:sz w:val="32"/>
          <w:szCs w:val="32"/>
        </w:rPr>
        <w:t>艰苦边远地区津贴</w:t>
      </w:r>
      <w:r>
        <w:rPr>
          <w:rFonts w:hint="eastAsia" w:ascii="仿宋_GB2312" w:eastAsia="仿宋_GB2312"/>
          <w:sz w:val="32"/>
          <w:szCs w:val="32"/>
          <w:lang w:val="en-US" w:eastAsia="zh-CN"/>
        </w:rPr>
        <w:t>补贴项目经费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校园</w:t>
      </w:r>
      <w:r>
        <w:rPr>
          <w:rFonts w:hint="eastAsia" w:ascii="仿宋_GB2312" w:eastAsia="仿宋_GB2312"/>
          <w:sz w:val="32"/>
          <w:szCs w:val="32"/>
          <w:lang w:val="en-US" w:eastAsia="zh-CN"/>
        </w:rPr>
        <w:t>校舍</w:t>
      </w:r>
      <w:r>
        <w:rPr>
          <w:rFonts w:hint="eastAsia" w:ascii="仿宋_GB2312" w:eastAsia="仿宋_GB2312"/>
          <w:sz w:val="32"/>
          <w:szCs w:val="32"/>
        </w:rPr>
        <w:t>维修</w:t>
      </w:r>
      <w:r>
        <w:rPr>
          <w:rFonts w:hint="eastAsia" w:ascii="仿宋_GB2312" w:eastAsia="仿宋_GB2312"/>
          <w:sz w:val="32"/>
          <w:szCs w:val="32"/>
          <w:lang w:val="en-US" w:eastAsia="zh-CN"/>
        </w:rPr>
        <w:t>改造</w:t>
      </w:r>
      <w:r>
        <w:rPr>
          <w:rFonts w:hint="eastAsia" w:ascii="仿宋_GB2312" w:eastAsia="仿宋_GB2312"/>
          <w:sz w:val="32"/>
          <w:szCs w:val="32"/>
        </w:rPr>
        <w:t>项目经费</w:t>
      </w:r>
      <w:r>
        <w:rPr>
          <w:rFonts w:hint="eastAsia" w:ascii="仿宋_GB2312" w:eastAsia="仿宋_GB231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799.46</w:t>
      </w:r>
      <w:r>
        <w:rPr>
          <w:rFonts w:hint="eastAsia" w:ascii="仿宋_GB2312" w:eastAsia="仿宋_GB2312"/>
          <w:sz w:val="32"/>
          <w:szCs w:val="32"/>
        </w:rPr>
        <w:t>万元，决算数</w:t>
      </w:r>
      <w:r>
        <w:rPr>
          <w:rFonts w:hint="eastAsia" w:ascii="仿宋_GB2312" w:eastAsia="仿宋_GB2312"/>
          <w:sz w:val="32"/>
          <w:szCs w:val="32"/>
          <w:lang w:val="zh-CN"/>
        </w:rPr>
        <w:t>947.86</w:t>
      </w:r>
      <w:r>
        <w:rPr>
          <w:rFonts w:hint="eastAsia" w:ascii="仿宋_GB2312" w:eastAsia="仿宋_GB2312"/>
          <w:sz w:val="32"/>
          <w:szCs w:val="32"/>
        </w:rPr>
        <w:t>万元，预决算差异率</w:t>
      </w:r>
      <w:r>
        <w:rPr>
          <w:rFonts w:hint="eastAsia" w:ascii="仿宋_GB2312" w:eastAsia="仿宋_GB2312"/>
          <w:sz w:val="32"/>
          <w:szCs w:val="32"/>
          <w:lang w:val="zh-CN"/>
        </w:rPr>
        <w:t>18.56%</w:t>
      </w:r>
      <w:r>
        <w:rPr>
          <w:rFonts w:hint="eastAsia" w:ascii="仿宋_GB2312" w:eastAsia="仿宋_GB2312"/>
          <w:sz w:val="32"/>
          <w:szCs w:val="32"/>
        </w:rPr>
        <w:t>，主要原因是：</w:t>
      </w:r>
      <w:r>
        <w:rPr>
          <w:rFonts w:hint="eastAsia" w:ascii="仿宋_GB2312" w:eastAsia="仿宋_GB2312"/>
          <w:sz w:val="32"/>
          <w:szCs w:val="32"/>
          <w:lang w:val="en-US" w:eastAsia="zh-CN"/>
        </w:rPr>
        <w:t>年中</w:t>
      </w:r>
      <w:r>
        <w:rPr>
          <w:rFonts w:hint="eastAsia" w:ascii="仿宋_GB2312" w:eastAsia="仿宋_GB2312"/>
          <w:sz w:val="32"/>
          <w:szCs w:val="32"/>
        </w:rPr>
        <w:t>追加校园</w:t>
      </w:r>
      <w:r>
        <w:rPr>
          <w:rFonts w:hint="eastAsia" w:ascii="仿宋_GB2312" w:eastAsia="仿宋_GB2312"/>
          <w:sz w:val="32"/>
          <w:szCs w:val="32"/>
          <w:lang w:val="en-US" w:eastAsia="zh-CN"/>
        </w:rPr>
        <w:t>校舍</w:t>
      </w:r>
      <w:r>
        <w:rPr>
          <w:rFonts w:hint="eastAsia" w:ascii="仿宋_GB2312" w:eastAsia="仿宋_GB2312"/>
          <w:sz w:val="32"/>
          <w:szCs w:val="32"/>
        </w:rPr>
        <w:t>维修</w:t>
      </w:r>
      <w:r>
        <w:rPr>
          <w:rFonts w:hint="eastAsia" w:ascii="仿宋_GB2312" w:eastAsia="仿宋_GB2312"/>
          <w:sz w:val="32"/>
          <w:szCs w:val="32"/>
          <w:lang w:val="en-US" w:eastAsia="zh-CN"/>
        </w:rPr>
        <w:t>改造</w:t>
      </w:r>
      <w:r>
        <w:rPr>
          <w:rFonts w:hint="eastAsia" w:ascii="仿宋_GB2312" w:eastAsia="仿宋_GB2312"/>
          <w:sz w:val="32"/>
          <w:szCs w:val="32"/>
        </w:rPr>
        <w:t>项目经费</w:t>
      </w:r>
      <w:r>
        <w:rPr>
          <w:rFonts w:hint="eastAsia" w:ascii="仿宋_GB2312" w:eastAsia="仿宋_GB2312"/>
          <w:sz w:val="32"/>
          <w:szCs w:val="32"/>
          <w:lang w:eastAsia="zh-CN"/>
        </w:rPr>
        <w:t>、</w:t>
      </w:r>
      <w:r>
        <w:rPr>
          <w:rFonts w:hint="eastAsia" w:ascii="仿宋_GB2312" w:eastAsia="仿宋_GB2312"/>
          <w:sz w:val="32"/>
          <w:szCs w:val="32"/>
        </w:rPr>
        <w:t>艰苦边远地区津贴</w:t>
      </w:r>
      <w:r>
        <w:rPr>
          <w:rFonts w:hint="eastAsia" w:ascii="仿宋_GB2312" w:eastAsia="仿宋_GB2312"/>
          <w:sz w:val="32"/>
          <w:szCs w:val="32"/>
          <w:lang w:val="en-US" w:eastAsia="zh-CN"/>
        </w:rPr>
        <w:t>补贴项目经费</w:t>
      </w:r>
      <w:r>
        <w:rPr>
          <w:rFonts w:hint="eastAsia" w:ascii="仿宋_GB2312" w:eastAsia="仿宋_GB2312"/>
          <w:sz w:val="32"/>
          <w:szCs w:val="32"/>
        </w:rPr>
        <w:t>。</w:t>
      </w:r>
    </w:p>
    <w:p w14:paraId="28E2CE1A">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847EA0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921.35</w:t>
      </w:r>
      <w:r>
        <w:rPr>
          <w:rFonts w:ascii="仿宋_GB2312" w:eastAsia="仿宋_GB2312"/>
          <w:kern w:val="2"/>
          <w:sz w:val="32"/>
          <w:szCs w:val="32"/>
          <w:lang w:val="zh-CN"/>
        </w:rPr>
        <w:t>万元，占</w:t>
      </w:r>
      <w:r>
        <w:rPr>
          <w:rFonts w:hint="eastAsia" w:ascii="仿宋_GB2312" w:eastAsia="仿宋_GB2312"/>
          <w:kern w:val="2"/>
          <w:sz w:val="32"/>
          <w:szCs w:val="32"/>
          <w:lang w:val="zh-CN"/>
        </w:rPr>
        <w:t>97.20</w:t>
      </w:r>
      <w:r>
        <w:rPr>
          <w:rFonts w:ascii="仿宋_GB2312" w:eastAsia="仿宋_GB2312"/>
          <w:kern w:val="2"/>
          <w:sz w:val="32"/>
          <w:szCs w:val="32"/>
          <w:lang w:val="zh-CN"/>
        </w:rPr>
        <w:t>%；</w:t>
      </w:r>
    </w:p>
    <w:p w14:paraId="238BA3F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26.51</w:t>
      </w:r>
      <w:r>
        <w:rPr>
          <w:rFonts w:ascii="仿宋_GB2312" w:eastAsia="仿宋_GB2312"/>
          <w:kern w:val="2"/>
          <w:sz w:val="32"/>
          <w:szCs w:val="32"/>
          <w:lang w:val="zh-CN"/>
        </w:rPr>
        <w:t>万元，占</w:t>
      </w:r>
      <w:r>
        <w:rPr>
          <w:rFonts w:hint="eastAsia" w:ascii="仿宋_GB2312" w:eastAsia="仿宋_GB2312"/>
          <w:kern w:val="2"/>
          <w:sz w:val="32"/>
          <w:szCs w:val="32"/>
          <w:lang w:val="zh-CN"/>
        </w:rPr>
        <w:t>2.80</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69A952A">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3594280">
      <w:pPr>
        <w:ind w:firstLine="640" w:firstLineChars="200"/>
        <w:rPr>
          <w:rFonts w:ascii="仿宋_GB2312" w:eastAsia="仿宋_GB2312"/>
          <w:sz w:val="32"/>
          <w:szCs w:val="32"/>
        </w:rPr>
      </w:pPr>
      <w:r>
        <w:rPr>
          <w:rFonts w:hint="eastAsia" w:ascii="仿宋_GB2312" w:eastAsia="仿宋_GB2312"/>
          <w:sz w:val="32"/>
          <w:szCs w:val="32"/>
        </w:rPr>
        <w:t>1.社会保障和就业支出（类）抚恤（款）死亡抚恤（项）:支出决算数为8.70万元，比上年决算减少6.81万元，下降43.9</w:t>
      </w:r>
      <w:r>
        <w:rPr>
          <w:rFonts w:hint="eastAsia" w:ascii="仿宋_GB2312" w:eastAsia="仿宋_GB2312"/>
          <w:sz w:val="32"/>
          <w:szCs w:val="32"/>
          <w:lang w:val="en-US" w:eastAsia="zh-CN"/>
        </w:rPr>
        <w:t>1</w:t>
      </w:r>
      <w:r>
        <w:rPr>
          <w:rFonts w:hint="eastAsia" w:ascii="仿宋_GB2312" w:eastAsia="仿宋_GB2312"/>
          <w:sz w:val="32"/>
          <w:szCs w:val="32"/>
        </w:rPr>
        <w:t>%，主要原因是：单位本年人员丧葬费、抚恤金补助较上年减少。</w:t>
      </w:r>
    </w:p>
    <w:p w14:paraId="725904F5">
      <w:pPr>
        <w:ind w:firstLine="640" w:firstLineChars="200"/>
        <w:rPr>
          <w:rFonts w:ascii="仿宋_GB2312" w:eastAsia="仿宋_GB2312"/>
          <w:sz w:val="32"/>
          <w:szCs w:val="32"/>
        </w:rPr>
      </w:pPr>
      <w:r>
        <w:rPr>
          <w:rFonts w:hint="eastAsia" w:ascii="仿宋_GB2312" w:eastAsia="仿宋_GB2312"/>
          <w:sz w:val="32"/>
          <w:szCs w:val="32"/>
        </w:rPr>
        <w:t>2.社会保障和就业支出（类）行政事业单位养老支出（款）事业单位离退休（项）:支出决算数为11.28万元，比上年决算增加6.29万元，增长126.0</w:t>
      </w:r>
      <w:r>
        <w:rPr>
          <w:rFonts w:hint="eastAsia" w:ascii="仿宋_GB2312" w:eastAsia="仿宋_GB2312"/>
          <w:sz w:val="32"/>
          <w:szCs w:val="32"/>
          <w:lang w:val="en-US" w:eastAsia="zh-CN"/>
        </w:rPr>
        <w:t>5</w:t>
      </w:r>
      <w:r>
        <w:rPr>
          <w:rFonts w:hint="eastAsia" w:ascii="仿宋_GB2312" w:eastAsia="仿宋_GB2312"/>
          <w:sz w:val="32"/>
          <w:szCs w:val="32"/>
        </w:rPr>
        <w:t>%，主要原因是：本年退休人员增加，退休人员取暖费、交通补助费用增加。</w:t>
      </w:r>
    </w:p>
    <w:p w14:paraId="5C2030C0">
      <w:pPr>
        <w:ind w:firstLine="640" w:firstLineChars="200"/>
        <w:rPr>
          <w:rFonts w:ascii="仿宋_GB2312" w:eastAsia="仿宋_GB2312"/>
          <w:sz w:val="32"/>
          <w:szCs w:val="32"/>
        </w:rPr>
      </w:pPr>
      <w:r>
        <w:rPr>
          <w:rFonts w:hint="eastAsia" w:ascii="仿宋_GB2312" w:eastAsia="仿宋_GB2312"/>
          <w:sz w:val="32"/>
          <w:szCs w:val="32"/>
        </w:rPr>
        <w:t>3.教育支出（类）普通教育（款）学前教育（项）:支出决算数为921.35万元，比上年决算增加97.95万元，增长11.90%，主要原因是：</w:t>
      </w:r>
      <w:r>
        <w:rPr>
          <w:rFonts w:hint="eastAsia" w:ascii="仿宋_GB2312" w:eastAsia="仿宋_GB2312"/>
          <w:sz w:val="32"/>
          <w:szCs w:val="32"/>
          <w:lang w:val="en-US" w:eastAsia="zh-CN"/>
        </w:rPr>
        <w:t>单位本年人员工资调增，工资、津贴补贴、奖金等相关人员经费</w:t>
      </w:r>
      <w:r>
        <w:rPr>
          <w:rFonts w:hint="eastAsia" w:ascii="仿宋_GB2312" w:eastAsia="仿宋_GB2312"/>
          <w:sz w:val="32"/>
          <w:szCs w:val="32"/>
        </w:rPr>
        <w:t>增加。</w:t>
      </w:r>
    </w:p>
    <w:p w14:paraId="59FB186E">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4.社会保障和就业支出（类）行政事业单位养老支出（款）机关事业单位职业年金缴费支出（项）:支出决算数为6.53万元，比上年决算增加6.53万元，增长100%，主要原因是：</w:t>
      </w:r>
      <w:r>
        <w:rPr>
          <w:rFonts w:hint="eastAsia" w:eastAsia="仿宋_GB2312"/>
          <w:sz w:val="32"/>
          <w:szCs w:val="32"/>
        </w:rPr>
        <w:t>退休人员增加，一次性职业年金</w:t>
      </w:r>
      <w:r>
        <w:rPr>
          <w:rFonts w:hint="eastAsia" w:eastAsia="仿宋_GB2312"/>
          <w:sz w:val="32"/>
          <w:szCs w:val="32"/>
          <w:lang w:val="en-US" w:eastAsia="zh-CN"/>
        </w:rPr>
        <w:t>缴费</w:t>
      </w:r>
      <w:r>
        <w:rPr>
          <w:rFonts w:hint="eastAsia" w:eastAsia="仿宋_GB2312"/>
          <w:sz w:val="32"/>
          <w:szCs w:val="32"/>
        </w:rPr>
        <w:t>增加</w:t>
      </w:r>
      <w:r>
        <w:rPr>
          <w:rFonts w:hint="eastAsia" w:ascii="仿宋_GB2312" w:eastAsia="仿宋_GB2312"/>
          <w:sz w:val="32"/>
          <w:szCs w:val="32"/>
        </w:rPr>
        <w:t>。</w:t>
      </w:r>
    </w:p>
    <w:p w14:paraId="10E5164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F941488">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809.43万元，其中：人员经费805.24万元，包括：基本工资、津贴补贴、奖金、机关事业单位基本养老保险缴费、职业年金缴费、职工基本医疗保险缴费、其他社会保障缴费、住房公积金、退休费、抚恤金、奖励金、其他对个人和家庭的补助。</w:t>
      </w:r>
    </w:p>
    <w:p w14:paraId="0E150F85">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公用经费4.18万元，包括：水费、电费、邮电费、取暖费。</w:t>
      </w:r>
    </w:p>
    <w:p w14:paraId="59011EC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B05D03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w:t>
      </w:r>
    </w:p>
    <w:p w14:paraId="4911C2B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4967E68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因公出国（境）费支出0.00万元，开支内容包括本年单位无此项经费。单位全年安排的因公出国（境）团组0个，因公出国（境）0人次。</w:t>
      </w:r>
    </w:p>
    <w:p w14:paraId="3203D982">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单位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58BC0B7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公务接待费0.00万元，开支内容包括本年单位无此项经费。单位全年安排的国内公务接待0批次，0人次。</w:t>
      </w:r>
    </w:p>
    <w:p w14:paraId="4111D49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w:t>
      </w:r>
    </w:p>
    <w:p w14:paraId="64165DD4">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9283F07">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0500D44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BB89C22">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A04383F">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EEEA74B">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494E35A">
      <w:pPr>
        <w:ind w:firstLine="640" w:firstLineChars="200"/>
        <w:jc w:val="left"/>
        <w:rPr>
          <w:rFonts w:ascii="仿宋_GB2312" w:eastAsia="仿宋_GB2312"/>
          <w:sz w:val="32"/>
          <w:szCs w:val="32"/>
          <w:lang w:val="zh-CN"/>
        </w:rPr>
      </w:pPr>
      <w:bookmarkStart w:id="24" w:name="_Toc227"/>
      <w:bookmarkStart w:id="25" w:name="_Toc26704"/>
      <w:r>
        <w:rPr>
          <w:rFonts w:hint="eastAsia" w:ascii="仿宋_GB2312" w:eastAsia="仿宋_GB2312"/>
          <w:sz w:val="32"/>
          <w:szCs w:val="32"/>
          <w:lang w:val="zh-CN"/>
        </w:rPr>
        <w:t>2023年度木垒哈萨克自治县幼儿园（事业单位）公用经费支出4.18万元，比上年增加2.31万元，增长123.53%，主要原因是：单位本年</w:t>
      </w:r>
      <w:r>
        <w:rPr>
          <w:rFonts w:hint="eastAsia" w:ascii="仿宋_GB2312" w:eastAsia="仿宋_GB2312"/>
          <w:sz w:val="32"/>
          <w:szCs w:val="32"/>
        </w:rPr>
        <w:t>水费、电费、取暖费</w:t>
      </w:r>
      <w:r>
        <w:rPr>
          <w:rFonts w:hint="eastAsia" w:ascii="仿宋_GB2312" w:eastAsia="仿宋_GB2312"/>
          <w:sz w:val="32"/>
          <w:szCs w:val="32"/>
          <w:lang w:val="zh-CN"/>
        </w:rPr>
        <w:t>增加。</w:t>
      </w:r>
    </w:p>
    <w:p w14:paraId="6EE2DE51">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077B57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2023年度政府采购支出总额8.59万元，其中：政府采购货物支出6.91万元、政府采购工程支出0.44万元、政府采购服务支出1.2</w:t>
      </w:r>
      <w:r>
        <w:rPr>
          <w:rFonts w:hint="eastAsia" w:ascii="仿宋_GB2312" w:eastAsia="仿宋_GB2312"/>
          <w:sz w:val="32"/>
          <w:szCs w:val="32"/>
          <w:lang w:val="en-US" w:eastAsia="zh-CN"/>
        </w:rPr>
        <w:t>5</w:t>
      </w:r>
      <w:r>
        <w:rPr>
          <w:rFonts w:hint="eastAsia" w:ascii="仿宋_GB2312" w:eastAsia="仿宋_GB2312"/>
          <w:sz w:val="32"/>
          <w:szCs w:val="32"/>
          <w:lang w:val="zh-CN"/>
        </w:rPr>
        <w:t>万元。</w:t>
      </w:r>
    </w:p>
    <w:p w14:paraId="5B79BA1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授予中小企业合同金额8.59万元，占政府采购支出总额的100.00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，其中：授予小微企业合同金额8.59万元，占政府采购支出总额的100.00</w:t>
      </w:r>
      <w:r>
        <w:rPr>
          <w:rFonts w:ascii="仿宋_GB2312" w:eastAsia="仿宋_GB2312"/>
          <w:sz w:val="32"/>
          <w:szCs w:val="32"/>
          <w:lang w:val="zh-CN"/>
        </w:rPr>
        <w:t>%</w:t>
      </w:r>
      <w:r>
        <w:rPr>
          <w:rFonts w:hint="eastAsia" w:ascii="仿宋_GB2312" w:eastAsia="仿宋_GB2312"/>
          <w:sz w:val="32"/>
          <w:szCs w:val="32"/>
          <w:lang w:val="zh-CN"/>
        </w:rPr>
        <w:t>。</w:t>
      </w:r>
    </w:p>
    <w:p w14:paraId="67E5346F">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5F1980F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截至2023年12月31日，固定资产原值754.05万元，房屋3,983.70平方米，价值547.70万元。车辆0辆，价值0.00万元，其中：副部（省）级及以上领导用车0辆、主要负责人用车0辆、机要通信用车0辆、应急保障用车0辆、执法执勤用车0辆、特种专业技术用车0辆、离退休干部服务用车0辆、其他用车0辆，其他用车主要是：单位无其他车辆；单价100万元（含）以上设备（不含车辆）0台（套）。</w:t>
      </w:r>
    </w:p>
    <w:p w14:paraId="7076044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7A8F3BF5">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953.91</w:t>
      </w:r>
      <w:r>
        <w:rPr>
          <w:rFonts w:hint="eastAsia" w:ascii="仿宋_GB2312" w:eastAsia="仿宋_GB2312"/>
          <w:sz w:val="32"/>
          <w:szCs w:val="32"/>
        </w:rPr>
        <w:t>万元，实际执行总额</w:t>
      </w:r>
      <w:r>
        <w:rPr>
          <w:rFonts w:ascii="仿宋_GB2312" w:eastAsia="仿宋_GB2312"/>
          <w:sz w:val="32"/>
          <w:szCs w:val="32"/>
        </w:rPr>
        <w:t>948.42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w:t>
      </w:r>
      <w:r>
        <w:rPr>
          <w:rFonts w:hint="eastAsia" w:ascii="仿宋_GB2312" w:hAnsi="宋体" w:eastAsia="仿宋_GB2312"/>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hint="eastAsia" w:ascii="仿宋_GB2312" w:eastAsia="仿宋_GB2312"/>
          <w:sz w:val="32"/>
          <w:szCs w:val="32"/>
        </w:rPr>
        <w:t>；二是</w:t>
      </w:r>
      <w:r>
        <w:rPr>
          <w:rFonts w:hint="eastAsia" w:ascii="仿宋_GB2312" w:hAnsi="宋体" w:eastAsia="仿宋_GB2312"/>
          <w:bCs/>
          <w:sz w:val="32"/>
          <w:szCs w:val="32"/>
        </w:rPr>
        <w:t>结合我校实际情</w:t>
      </w:r>
      <w:r>
        <w:rPr>
          <w:rFonts w:hint="eastAsia" w:ascii="仿宋_GB2312" w:hAnsi="宋体" w:eastAsia="仿宋_GB2312"/>
          <w:bCs/>
          <w:sz w:val="32"/>
          <w:szCs w:val="32"/>
          <w:lang w:val="en-US" w:eastAsia="zh-CN"/>
        </w:rPr>
        <w:t>况</w:t>
      </w:r>
      <w:r>
        <w:rPr>
          <w:rFonts w:hint="eastAsia" w:ascii="仿宋_GB2312" w:hAnsi="宋体" w:eastAsia="仿宋_GB2312"/>
          <w:bCs/>
          <w:sz w:val="32"/>
          <w:szCs w:val="32"/>
        </w:rPr>
        <w:t>分配资金，以达到合理高效地运用资金、提升资金的产出效果、节约成本与资源、提高部门的办事效率的目的</w:t>
      </w:r>
      <w:r>
        <w:rPr>
          <w:rFonts w:hint="eastAsia" w:ascii="仿宋_GB2312" w:eastAsia="仿宋_GB2312"/>
          <w:sz w:val="32"/>
          <w:szCs w:val="32"/>
        </w:rPr>
        <w:t>。发现的问题及原因：一是</w:t>
      </w:r>
      <w:r>
        <w:rPr>
          <w:rFonts w:hint="eastAsia" w:ascii="仿宋_GB2312" w:hAnsi="宋体" w:eastAsia="仿宋_GB2312"/>
          <w:bCs/>
          <w:sz w:val="32"/>
          <w:szCs w:val="32"/>
        </w:rPr>
        <w:t>未健全公务卡强制结算目录，发生的差旅费、培训费等经费支出，除按规定实行财政直接支付或者银行转账外，应当使用公务卡结算，而不能通过个人银行卡进行核算和报销</w:t>
      </w:r>
      <w:r>
        <w:rPr>
          <w:rFonts w:hint="eastAsia" w:ascii="仿宋_GB2312" w:eastAsia="仿宋_GB2312"/>
          <w:sz w:val="32"/>
          <w:szCs w:val="32"/>
        </w:rPr>
        <w:t>；二是</w:t>
      </w:r>
      <w:r>
        <w:rPr>
          <w:rFonts w:hint="eastAsia" w:ascii="仿宋_GB2312" w:hAnsi="宋体" w:eastAsia="仿宋_GB2312"/>
          <w:bCs/>
          <w:sz w:val="32"/>
          <w:szCs w:val="32"/>
        </w:rPr>
        <w:t>未定期或者不定期对资产进行盘点、对账。出现资产盘盈盘亏，报废的因各种原因未及时</w:t>
      </w:r>
      <w:bookmarkStart w:id="48" w:name="_GoBack"/>
      <w:bookmarkEnd w:id="48"/>
      <w:r>
        <w:rPr>
          <w:rFonts w:hint="eastAsia" w:ascii="仿宋_GB2312" w:hAnsi="宋体" w:eastAsia="仿宋_GB2312"/>
          <w:bCs/>
          <w:sz w:val="32"/>
          <w:szCs w:val="32"/>
        </w:rPr>
        <w:t>做资产减少，出现账实不符的现象</w:t>
      </w:r>
      <w:r>
        <w:rPr>
          <w:rFonts w:hint="eastAsia" w:ascii="仿宋_GB2312" w:eastAsia="仿宋_GB2312"/>
          <w:sz w:val="32"/>
          <w:szCs w:val="32"/>
        </w:rPr>
        <w:t>。下一步改进措施：一是</w:t>
      </w:r>
      <w:r>
        <w:rPr>
          <w:rFonts w:hint="eastAsia" w:ascii="仿宋_GB2312" w:hAnsi="宋体" w:eastAsia="仿宋_GB2312"/>
          <w:bCs/>
          <w:sz w:val="32"/>
          <w:szCs w:val="32"/>
        </w:rPr>
        <w:t>加强财务管理，严把财务审批，加强单位财务管理，健全单位财务管理制度，规范财务行为，把制度落到实处</w:t>
      </w:r>
      <w:r>
        <w:rPr>
          <w:rFonts w:hint="eastAsia" w:ascii="仿宋_GB2312" w:eastAsia="仿宋_GB2312"/>
          <w:sz w:val="32"/>
          <w:szCs w:val="32"/>
        </w:rPr>
        <w:t>；二是</w:t>
      </w:r>
      <w:r>
        <w:rPr>
          <w:rFonts w:hint="eastAsia" w:ascii="仿宋_GB2312" w:hAnsi="宋体" w:eastAsia="仿宋_GB2312"/>
          <w:bCs/>
          <w:sz w:val="32"/>
          <w:szCs w:val="32"/>
        </w:rPr>
        <w:t>资产管理要对资产实施动态管理；应当定期或者不定期对资产进行盘点、对账应当按照财务、会计和资产管理制度有关规定处理</w:t>
      </w:r>
      <w:r>
        <w:rPr>
          <w:rFonts w:hint="eastAsia" w:ascii="仿宋_GB2312" w:eastAsia="仿宋_GB2312"/>
          <w:sz w:val="32"/>
          <w:szCs w:val="32"/>
        </w:rPr>
        <w:t>。具体项目自评情况附绩效自评表及自评报告。</w:t>
      </w:r>
    </w:p>
    <w:tbl>
      <w:tblPr>
        <w:tblStyle w:val="9"/>
        <w:tblW w:w="8717" w:type="dxa"/>
        <w:tblInd w:w="93" w:type="dxa"/>
        <w:tblLayout w:type="autofit"/>
        <w:tblCellMar>
          <w:top w:w="0" w:type="dxa"/>
          <w:left w:w="108" w:type="dxa"/>
          <w:bottom w:w="0" w:type="dxa"/>
          <w:right w:w="108" w:type="dxa"/>
        </w:tblCellMar>
      </w:tblPr>
      <w:tblGrid>
        <w:gridCol w:w="1816"/>
        <w:gridCol w:w="1305"/>
        <w:gridCol w:w="1017"/>
        <w:gridCol w:w="1173"/>
        <w:gridCol w:w="1229"/>
        <w:gridCol w:w="707"/>
        <w:gridCol w:w="885"/>
        <w:gridCol w:w="585"/>
      </w:tblGrid>
      <w:tr w14:paraId="7A247FB0">
        <w:tblPrEx>
          <w:tblCellMar>
            <w:top w:w="0" w:type="dxa"/>
            <w:left w:w="108" w:type="dxa"/>
            <w:bottom w:w="0" w:type="dxa"/>
            <w:right w:w="108" w:type="dxa"/>
          </w:tblCellMar>
        </w:tblPrEx>
        <w:trPr>
          <w:trHeight w:val="522" w:hRule="atLeast"/>
        </w:trPr>
        <w:tc>
          <w:tcPr>
            <w:tcW w:w="8717"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2091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部门（单位）整体支出绩效目标自评表</w:t>
            </w:r>
          </w:p>
        </w:tc>
      </w:tr>
      <w:tr w14:paraId="69C0112F">
        <w:tblPrEx>
          <w:tblCellMar>
            <w:top w:w="0" w:type="dxa"/>
            <w:left w:w="108" w:type="dxa"/>
            <w:bottom w:w="0" w:type="dxa"/>
            <w:right w:w="108" w:type="dxa"/>
          </w:tblCellMar>
        </w:tblPrEx>
        <w:trPr>
          <w:trHeight w:val="360"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3813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（2023年度）</w:t>
            </w:r>
          </w:p>
        </w:tc>
      </w:tr>
      <w:tr w14:paraId="23AC4BB3">
        <w:tblPrEx>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036D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52FE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木垒哈萨克自治县幼儿园</w:t>
            </w:r>
          </w:p>
        </w:tc>
      </w:tr>
      <w:tr w14:paraId="0DB1CD2F">
        <w:tblPrEx>
          <w:tblCellMar>
            <w:top w:w="0" w:type="dxa"/>
            <w:left w:w="108" w:type="dxa"/>
            <w:bottom w:w="0" w:type="dxa"/>
            <w:right w:w="108" w:type="dxa"/>
          </w:tblCellMar>
        </w:tblPrEx>
        <w:trPr>
          <w:trHeight w:val="570" w:hRule="atLeast"/>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E0D94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部门资金（万元）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C956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资金来源</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C0F4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年初预算数</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394A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全年预算数</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8D6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全年执行数</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088B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分值权重</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A4A9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执行率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D83A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得分</w:t>
            </w:r>
          </w:p>
        </w:tc>
      </w:tr>
      <w:tr w14:paraId="24047D22">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93A3F">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C693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中央安排</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E27C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9806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F80E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FF79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9B95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7160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2A1CBE98">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1477C">
            <w:pPr>
              <w:jc w:val="center"/>
              <w:rPr>
                <w:rFonts w:hint="eastAsia" w:cs="宋体" w:asciiTheme="minorEastAsia" w:hAnsiTheme="minorEastAsia" w:eastAsiaTheme="minorEastAsia"/>
                <w:color w:val="000000"/>
                <w:sz w:val="20"/>
                <w:szCs w:val="20"/>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03A7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自治区安排</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08A1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29.36</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EE66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37.73</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8F67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37.73</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454A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F61B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41F9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6E69E598">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8A5C9">
            <w:pPr>
              <w:jc w:val="center"/>
              <w:rPr>
                <w:rFonts w:hint="eastAsia" w:cs="宋体" w:asciiTheme="minorEastAsia" w:hAnsiTheme="minorEastAsia" w:eastAsiaTheme="minorEastAsia"/>
                <w:color w:val="000000"/>
                <w:sz w:val="20"/>
                <w:szCs w:val="20"/>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CDE5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地（州、市）安排</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9C28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7E37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D6DB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8105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8301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B16E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41213F07">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9DDF8">
            <w:pPr>
              <w:jc w:val="center"/>
              <w:rPr>
                <w:rFonts w:hint="eastAsia" w:cs="宋体" w:asciiTheme="minorEastAsia" w:hAnsiTheme="minorEastAsia" w:eastAsiaTheme="minorEastAsia"/>
                <w:color w:val="000000"/>
                <w:sz w:val="20"/>
                <w:szCs w:val="20"/>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566B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县（市、区）安排</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2121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770.10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C91DB">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916.18</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483C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910.69</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67FF">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28165">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ADEC7">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1BB9C5D5">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BB501">
            <w:pPr>
              <w:jc w:val="center"/>
              <w:rPr>
                <w:rFonts w:hint="eastAsia" w:cs="宋体" w:asciiTheme="minorEastAsia" w:hAnsiTheme="minorEastAsia" w:eastAsiaTheme="minorEastAsia"/>
                <w:color w:val="000000"/>
                <w:sz w:val="20"/>
                <w:szCs w:val="20"/>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BA97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其他资金</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0829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D835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5515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E462E">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728F4">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AF51A">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13D5B32A">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7389F">
            <w:pPr>
              <w:jc w:val="center"/>
              <w:rPr>
                <w:rFonts w:hint="eastAsia" w:cs="宋体" w:asciiTheme="minorEastAsia" w:hAnsiTheme="minorEastAsia" w:eastAsiaTheme="minorEastAsia"/>
                <w:color w:val="000000"/>
                <w:sz w:val="20"/>
                <w:szCs w:val="20"/>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4071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合计</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1340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799.46</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5EA9A">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953.91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5F72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948.42</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6771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39FD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8104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6E48CEF1">
        <w:tblPrEx>
          <w:tblCellMar>
            <w:top w:w="0" w:type="dxa"/>
            <w:left w:w="108" w:type="dxa"/>
            <w:bottom w:w="0" w:type="dxa"/>
            <w:right w:w="108" w:type="dxa"/>
          </w:tblCellMar>
        </w:tblPrEx>
        <w:trPr>
          <w:trHeight w:val="705" w:hRule="atLeast"/>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47024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F94E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0D28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实际完成情况</w:t>
            </w:r>
          </w:p>
        </w:tc>
      </w:tr>
      <w:tr w14:paraId="5E00E120">
        <w:tblPrEx>
          <w:tblCellMar>
            <w:top w:w="0" w:type="dxa"/>
            <w:left w:w="108" w:type="dxa"/>
            <w:bottom w:w="0" w:type="dxa"/>
            <w:right w:w="108" w:type="dxa"/>
          </w:tblCellMar>
        </w:tblPrEx>
        <w:trPr>
          <w:trHeight w:val="660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7EE35">
            <w:pPr>
              <w:jc w:val="center"/>
              <w:rPr>
                <w:rFonts w:hint="eastAsia" w:cs="宋体" w:asciiTheme="minorEastAsia" w:hAnsiTheme="minorEastAsia" w:eastAsiaTheme="minorEastAsia"/>
                <w:color w:val="000000"/>
                <w:sz w:val="20"/>
                <w:szCs w:val="20"/>
              </w:rPr>
            </w:pPr>
          </w:p>
        </w:tc>
        <w:tc>
          <w:tcPr>
            <w:tcW w:w="34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BA4E6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目标1：宣传贯彻执行党和国家的教育方针、政策、法律法规等坚持依法执教、依法治学，贯彻执行县教育局的行政规章制度；目标2：组织开展本园的教育教学改革，全力推进素质教育实施；目标3：按照学前教育课程计划，开齐课程，开足课时，认真实施学前的教育教学管理，全面推进学前教育，全面提高教育教学质量； 目标4：负责本园财务管理，筹措资金，改善办学条件等工作； 目标5：及时、足额</w:t>
            </w:r>
            <w:r>
              <w:rPr>
                <w:rFonts w:hint="eastAsia" w:cs="宋体" w:asciiTheme="minorEastAsia" w:hAnsiTheme="minorEastAsia" w:eastAsiaTheme="minorEastAsia"/>
                <w:color w:val="000000"/>
                <w:kern w:val="0"/>
                <w:sz w:val="20"/>
                <w:szCs w:val="20"/>
                <w:lang w:eastAsia="zh-CN" w:bidi="ar"/>
              </w:rPr>
              <w:t>地</w:t>
            </w:r>
            <w:r>
              <w:rPr>
                <w:rFonts w:hint="eastAsia" w:cs="宋体" w:asciiTheme="minorEastAsia" w:hAnsiTheme="minorEastAsia" w:eastAsiaTheme="minorEastAsia"/>
                <w:color w:val="000000"/>
                <w:kern w:val="0"/>
                <w:sz w:val="20"/>
                <w:szCs w:val="20"/>
                <w:lang w:bidi="ar"/>
              </w:rPr>
              <w:t>发放在职职工工资、缴纳社保等人员经费、离退休人员交通费、独生子女奖励金、保障幼儿园的正常运行。</w:t>
            </w:r>
          </w:p>
        </w:tc>
        <w:tc>
          <w:tcPr>
            <w:tcW w:w="34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C5FB07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 xml:space="preserve">我单位通过加强预算收支管理，不断建立健全内部管理制度，梳理内部管理流程，部门整体支出管理情况得到提升。我单位2023年部门单位预算执行率100%，部门整体绩效目标共设置一级指标6个，二级指标6个，三级指标9个，其中已完成三级指标9个，履职效能方面，我单位完成了全园323名幼儿均享受学前教育资助政策，2023年，幼儿园辖区内满3岁儿童和残疾儿童入园率100%，实现应入尽入。建立了学籍档案，实行班级考勤制度，323名幼儿无辍学情况。 </w:t>
            </w:r>
            <w:r>
              <w:rPr>
                <w:rFonts w:hint="eastAsia" w:cs="宋体" w:asciiTheme="minorEastAsia" w:hAnsiTheme="minorEastAsia" w:eastAsiaTheme="minorEastAsia"/>
                <w:color w:val="000000"/>
                <w:kern w:val="0"/>
                <w:sz w:val="20"/>
                <w:szCs w:val="20"/>
                <w:lang w:bidi="ar"/>
              </w:rPr>
              <w:br w:type="textWrapping"/>
            </w:r>
            <w:r>
              <w:rPr>
                <w:rFonts w:hint="eastAsia" w:cs="宋体" w:asciiTheme="minorEastAsia" w:hAnsiTheme="minorEastAsia" w:eastAsiaTheme="minorEastAsia"/>
                <w:color w:val="000000"/>
                <w:kern w:val="0"/>
                <w:sz w:val="20"/>
                <w:szCs w:val="20"/>
                <w:lang w:bidi="ar"/>
              </w:rPr>
              <w:t>加强联盟共建，做好幼小衔接，提升保教质量制定落实联盟工作计划，落实联盟各项工作。与南平市实验幼儿园结对共建，开展“开放共融，携手同行”线上交流研讨活动，分享优质资源，促进两地交往、交流、交融。与昌吉州实验幼儿园签订结对帮扶协议，选派18名教师赴州实验幼儿园跟岗学习，不断提升教师队伍专业能力。做好与州实幼及下属三级联盟幼儿园之间的纵向联动，促进保教质量提升，推动联盟均衡发展。加强幼儿园与小学的科学双向衔接，分别与县一小和三小联合开展联动教研活动，加强幼小沟通交流，努力减缓学段间的坡度，切实有效做好幼小衔接工作。做好家园共育工作，通过家长学校召开家长会7次，开展《</w:t>
            </w:r>
            <w:r>
              <w:rPr>
                <w:rFonts w:hint="eastAsia" w:cs="宋体" w:asciiTheme="minorEastAsia" w:hAnsiTheme="minorEastAsia" w:eastAsiaTheme="minorEastAsia"/>
                <w:color w:val="000000"/>
                <w:kern w:val="0"/>
                <w:sz w:val="20"/>
                <w:szCs w:val="20"/>
                <w:lang w:eastAsia="zh-CN" w:bidi="ar"/>
              </w:rPr>
              <w:t>中华人民共和国家庭教育促进法</w:t>
            </w:r>
            <w:r>
              <w:rPr>
                <w:rFonts w:hint="eastAsia" w:cs="宋体" w:asciiTheme="minorEastAsia" w:hAnsiTheme="minorEastAsia" w:eastAsiaTheme="minorEastAsia"/>
                <w:color w:val="000000"/>
                <w:kern w:val="0"/>
                <w:sz w:val="20"/>
                <w:szCs w:val="20"/>
                <w:lang w:bidi="ar"/>
              </w:rPr>
              <w:t xml:space="preserve">》解读和“书记园长讲资助”活动，加强家园互动交流，促进幼儿健康发展。 </w:t>
            </w:r>
            <w:r>
              <w:rPr>
                <w:rFonts w:hint="eastAsia" w:cs="宋体" w:asciiTheme="minorEastAsia" w:hAnsiTheme="minorEastAsia" w:eastAsiaTheme="minorEastAsia"/>
                <w:color w:val="000000"/>
                <w:kern w:val="0"/>
                <w:sz w:val="20"/>
                <w:szCs w:val="20"/>
                <w:lang w:bidi="ar"/>
              </w:rPr>
              <w:br w:type="textWrapping"/>
            </w:r>
            <w:r>
              <w:rPr>
                <w:rFonts w:hint="eastAsia" w:cs="宋体" w:asciiTheme="minorEastAsia" w:hAnsiTheme="minorEastAsia" w:eastAsiaTheme="minorEastAsia"/>
                <w:color w:val="000000"/>
                <w:kern w:val="0"/>
                <w:sz w:val="20"/>
                <w:szCs w:val="20"/>
                <w:lang w:bidi="ar"/>
              </w:rPr>
              <w:t>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校实际情</w:t>
            </w:r>
            <w:r>
              <w:rPr>
                <w:rFonts w:hint="eastAsia" w:cs="宋体" w:asciiTheme="minorEastAsia" w:hAnsiTheme="minorEastAsia" w:eastAsiaTheme="minorEastAsia"/>
                <w:color w:val="000000"/>
                <w:kern w:val="0"/>
                <w:sz w:val="20"/>
                <w:szCs w:val="20"/>
                <w:lang w:val="en-US" w:eastAsia="zh-CN" w:bidi="ar"/>
              </w:rPr>
              <w:t>况</w:t>
            </w:r>
            <w:r>
              <w:rPr>
                <w:rFonts w:hint="eastAsia" w:cs="宋体" w:asciiTheme="minorEastAsia" w:hAnsiTheme="minorEastAsia" w:eastAsiaTheme="minorEastAsia"/>
                <w:color w:val="000000"/>
                <w:kern w:val="0"/>
                <w:sz w:val="20"/>
                <w:szCs w:val="20"/>
                <w:lang w:bidi="ar"/>
              </w:rPr>
              <w:t xml:space="preserve">分配资金，以达到合理高效地运用资金、提升资金的产出效果、节约成本与资源、提高部门的办事效率的目的。在部门预算整体支出绩效方面都按规定严格执行，合理安排支出，使财政资金发挥出最大的效益。 </w:t>
            </w:r>
            <w:r>
              <w:rPr>
                <w:rFonts w:hint="eastAsia" w:cs="宋体" w:asciiTheme="minorEastAsia" w:hAnsiTheme="minorEastAsia" w:eastAsiaTheme="minorEastAsia"/>
                <w:color w:val="000000"/>
                <w:kern w:val="0"/>
                <w:sz w:val="20"/>
                <w:szCs w:val="20"/>
                <w:lang w:bidi="ar"/>
              </w:rPr>
              <w:br w:type="textWrapping"/>
            </w:r>
            <w:r>
              <w:rPr>
                <w:rFonts w:hint="eastAsia" w:cs="宋体" w:asciiTheme="minorEastAsia" w:hAnsiTheme="minorEastAsia" w:eastAsiaTheme="minorEastAsia"/>
                <w:color w:val="000000"/>
                <w:kern w:val="0"/>
                <w:sz w:val="20"/>
                <w:szCs w:val="20"/>
                <w:lang w:bidi="ar"/>
              </w:rPr>
              <w:t>本单位2023年度部门整体支出绩效完成情况良好。</w:t>
            </w:r>
          </w:p>
        </w:tc>
      </w:tr>
      <w:tr w14:paraId="1E683781">
        <w:tblPrEx>
          <w:tblCellMar>
            <w:top w:w="0" w:type="dxa"/>
            <w:left w:w="108" w:type="dxa"/>
            <w:bottom w:w="0" w:type="dxa"/>
            <w:right w:w="108" w:type="dxa"/>
          </w:tblCellMar>
        </w:tblPrEx>
        <w:trPr>
          <w:trHeight w:val="580" w:hRule="atLeast"/>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96F0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62B2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二级指标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334F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三级指标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2C1F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预期指标值</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8E8D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指标值设定依据</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9698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分值权重</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24FB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实际完成指标值</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7DF2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得分</w:t>
            </w:r>
          </w:p>
        </w:tc>
      </w:tr>
      <w:tr w14:paraId="0E2B0658">
        <w:tblPrEx>
          <w:tblCellMar>
            <w:top w:w="0" w:type="dxa"/>
            <w:left w:w="108" w:type="dxa"/>
            <w:bottom w:w="0" w:type="dxa"/>
            <w:right w:w="108" w:type="dxa"/>
          </w:tblCellMar>
        </w:tblPrEx>
        <w:trPr>
          <w:trHeight w:val="740" w:hRule="atLeast"/>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6180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运行成本</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744E9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数量指标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7910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保障幼儿园办公人员数量</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2BC4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&gt;=40人</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D3B9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木垒县幼儿园机构改革方案</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312B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365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40人</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CBB5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w:t>
            </w:r>
          </w:p>
        </w:tc>
      </w:tr>
      <w:tr w14:paraId="52120752">
        <w:tblPrEx>
          <w:tblCellMar>
            <w:top w:w="0" w:type="dxa"/>
            <w:left w:w="108" w:type="dxa"/>
            <w:bottom w:w="0" w:type="dxa"/>
            <w:right w:w="108" w:type="dxa"/>
          </w:tblCellMar>
        </w:tblPrEx>
        <w:trPr>
          <w:trHeight w:val="740" w:hRule="atLeast"/>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F115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管理效率</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A3438">
            <w:pPr>
              <w:jc w:val="center"/>
              <w:rPr>
                <w:rFonts w:hint="eastAsia" w:cs="宋体" w:asciiTheme="minorEastAsia" w:hAnsiTheme="minorEastAsia" w:eastAsiaTheme="minorEastAsia"/>
                <w:color w:val="000000"/>
                <w:sz w:val="20"/>
                <w:szCs w:val="20"/>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1FF7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保障学前三年适龄幼儿人数</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352A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&gt;=350人</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5936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木垒县幼儿园2023年教学工作计划及幼儿学籍管理</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490A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D9C3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350人</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F1CD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7D174D77">
        <w:tblPrEx>
          <w:tblCellMar>
            <w:top w:w="0" w:type="dxa"/>
            <w:left w:w="108" w:type="dxa"/>
            <w:bottom w:w="0" w:type="dxa"/>
            <w:right w:w="108" w:type="dxa"/>
          </w:tblCellMar>
        </w:tblPrEx>
        <w:trPr>
          <w:trHeight w:val="740" w:hRule="atLeast"/>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AFBCD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履职效能</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D4F9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质量指标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31D8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教师培训参培率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FF34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47F4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木垒县幼儿园2023年教学工作计划及培训考勤</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2845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C633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5F0E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5B34DEBB">
        <w:tblPrEx>
          <w:tblCellMar>
            <w:top w:w="0" w:type="dxa"/>
            <w:left w:w="108" w:type="dxa"/>
            <w:bottom w:w="0" w:type="dxa"/>
            <w:right w:w="108" w:type="dxa"/>
          </w:tblCellMar>
        </w:tblPrEx>
        <w:trPr>
          <w:trHeight w:val="74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3CAFD">
            <w:pPr>
              <w:jc w:val="center"/>
              <w:rPr>
                <w:rFonts w:hint="eastAsia" w:cs="宋体" w:asciiTheme="minorEastAsia" w:hAnsiTheme="minorEastAsia" w:eastAsiaTheme="minorEastAsia"/>
                <w:color w:val="000000"/>
                <w:sz w:val="20"/>
                <w:szCs w:val="20"/>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F1005">
            <w:pPr>
              <w:jc w:val="center"/>
              <w:rPr>
                <w:rFonts w:hint="eastAsia" w:cs="宋体" w:asciiTheme="minorEastAsia" w:hAnsiTheme="minorEastAsia" w:eastAsiaTheme="minorEastAsia"/>
                <w:color w:val="000000"/>
                <w:sz w:val="20"/>
                <w:szCs w:val="20"/>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66DE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幼儿出勤率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4135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695D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木垒县幼儿园2023年教学工作计划及幼儿考勤</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F63D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74B2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A517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42671E58">
        <w:tblPrEx>
          <w:tblCellMar>
            <w:top w:w="0" w:type="dxa"/>
            <w:left w:w="108" w:type="dxa"/>
            <w:bottom w:w="0" w:type="dxa"/>
            <w:right w:w="108" w:type="dxa"/>
          </w:tblCellMar>
        </w:tblPrEx>
        <w:trPr>
          <w:trHeight w:val="74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1A03A">
            <w:pPr>
              <w:jc w:val="center"/>
              <w:rPr>
                <w:rFonts w:hint="eastAsia" w:cs="宋体" w:asciiTheme="minorEastAsia" w:hAnsiTheme="minorEastAsia" w:eastAsiaTheme="minorEastAsia"/>
                <w:color w:val="000000"/>
                <w:sz w:val="20"/>
                <w:szCs w:val="20"/>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C80F3">
            <w:pPr>
              <w:jc w:val="center"/>
              <w:rPr>
                <w:rFonts w:hint="eastAsia" w:cs="宋体" w:asciiTheme="minorEastAsia" w:hAnsiTheme="minorEastAsia" w:eastAsiaTheme="minorEastAsia"/>
                <w:color w:val="000000"/>
                <w:sz w:val="20"/>
                <w:szCs w:val="20"/>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BC6B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幼儿伙食保障率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4200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E289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木垒县幼儿园2023年教育资助扶贫计划</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774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4EF2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8927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1B567923">
        <w:tblPrEx>
          <w:tblCellMar>
            <w:top w:w="0" w:type="dxa"/>
            <w:left w:w="108" w:type="dxa"/>
            <w:bottom w:w="0" w:type="dxa"/>
            <w:right w:w="108" w:type="dxa"/>
          </w:tblCellMar>
        </w:tblPrEx>
        <w:trPr>
          <w:trHeight w:val="74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3E46C">
            <w:pPr>
              <w:jc w:val="center"/>
              <w:rPr>
                <w:rFonts w:hint="eastAsia" w:cs="宋体" w:asciiTheme="minorEastAsia" w:hAnsiTheme="minorEastAsia" w:eastAsiaTheme="minorEastAsia"/>
                <w:color w:val="000000"/>
                <w:sz w:val="20"/>
                <w:szCs w:val="20"/>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EBD8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数量指标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9CA0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教师各类培训及学习次数</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803E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&gt;=10次</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A5F7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木垒县幼儿园2023年教育教学工作计划</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DABC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2DC4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15次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8C55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4DED57B4">
        <w:tblPrEx>
          <w:tblCellMar>
            <w:top w:w="0" w:type="dxa"/>
            <w:left w:w="108" w:type="dxa"/>
            <w:bottom w:w="0" w:type="dxa"/>
            <w:right w:w="108" w:type="dxa"/>
          </w:tblCellMar>
        </w:tblPrEx>
        <w:trPr>
          <w:trHeight w:val="740" w:hRule="atLeast"/>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1FCD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社会效益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CF1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社会效益指标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EC9B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受益学生人数</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E922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&gt;=350人</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9E65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2023年幼儿园扶贫计划</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6815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C58B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350人</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55A1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03EABA20">
        <w:tblPrEx>
          <w:tblCellMar>
            <w:top w:w="0" w:type="dxa"/>
            <w:left w:w="108" w:type="dxa"/>
            <w:bottom w:w="0" w:type="dxa"/>
            <w:right w:w="108" w:type="dxa"/>
          </w:tblCellMar>
        </w:tblPrEx>
        <w:trPr>
          <w:trHeight w:val="740" w:hRule="atLeast"/>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A753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可持续发展能力</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F0A1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可持续影响指标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2985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持续改善办学条件，提高幼儿园竞争力和办学能力，促进幼儿园可持续发展</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A9A0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=1年</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4756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木垒县幼儿园2023年工作计划</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9EA3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AC6A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1年</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3AE8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15</w:t>
            </w:r>
          </w:p>
        </w:tc>
      </w:tr>
      <w:tr w14:paraId="677B8F03">
        <w:tblPrEx>
          <w:tblCellMar>
            <w:top w:w="0" w:type="dxa"/>
            <w:left w:w="108" w:type="dxa"/>
            <w:bottom w:w="0" w:type="dxa"/>
            <w:right w:w="108" w:type="dxa"/>
          </w:tblCellMar>
        </w:tblPrEx>
        <w:trPr>
          <w:trHeight w:val="740" w:hRule="atLeast"/>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30BA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服务对象满意度</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20D8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质量指标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EFA4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家长满意度</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4024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950F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木垒县幼儿园2023年满意度测评</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4CE0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1C83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C1EE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bl>
    <w:p w14:paraId="73D2F6C0">
      <w:pPr>
        <w:ind w:firstLine="640" w:firstLineChars="200"/>
        <w:jc w:val="left"/>
        <w:rPr>
          <w:rFonts w:ascii="仿宋_GB2312" w:eastAsia="仿宋_GB2312"/>
          <w:sz w:val="32"/>
          <w:szCs w:val="32"/>
        </w:rPr>
      </w:pPr>
    </w:p>
    <w:p w14:paraId="5B30128D">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E4496A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1710ABE">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8B5F49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774147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B424FD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9FD6B1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A02C4A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73EE5F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309813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EAEC2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75A43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929EAC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81FFC5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E1FF2E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AB6D10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7DC11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D65C7D3">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4AFF17F">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2CD07B1E">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550FE98A">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5E7F4373">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34B7755">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112DC894">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2474A14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295C97AF">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6033DB7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076EAE6">
      <w:pPr>
        <w:ind w:firstLine="640" w:firstLineChars="200"/>
        <w:rPr>
          <w:rFonts w:ascii="仿宋_GB2312" w:eastAsia="仿宋_GB2312"/>
          <w:sz w:val="32"/>
          <w:szCs w:val="32"/>
        </w:rPr>
      </w:pPr>
    </w:p>
    <w:p w14:paraId="2D1E59C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CE3D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3813F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E3813F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99240C"/>
    <w:rsid w:val="0006265C"/>
    <w:rsid w:val="000A263C"/>
    <w:rsid w:val="0010563E"/>
    <w:rsid w:val="00213C59"/>
    <w:rsid w:val="002246EF"/>
    <w:rsid w:val="003210CE"/>
    <w:rsid w:val="005A120B"/>
    <w:rsid w:val="00752F88"/>
    <w:rsid w:val="00782776"/>
    <w:rsid w:val="007D510B"/>
    <w:rsid w:val="0099240C"/>
    <w:rsid w:val="00AE3C32"/>
    <w:rsid w:val="00B46CFD"/>
    <w:rsid w:val="00B70D59"/>
    <w:rsid w:val="00BD3D1F"/>
    <w:rsid w:val="00BF05F1"/>
    <w:rsid w:val="00C6061D"/>
    <w:rsid w:val="00C6420D"/>
    <w:rsid w:val="00C67521"/>
    <w:rsid w:val="00CC311A"/>
    <w:rsid w:val="00CD67F2"/>
    <w:rsid w:val="00D11F5D"/>
    <w:rsid w:val="00DA1241"/>
    <w:rsid w:val="00DD4B35"/>
    <w:rsid w:val="00F03AD8"/>
    <w:rsid w:val="00F52A8D"/>
    <w:rsid w:val="00F63CE3"/>
    <w:rsid w:val="00FE425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3731D"/>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7D2CED"/>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33B8B"/>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3969</Words>
  <Characters>4523</Characters>
  <Lines>59</Lines>
  <Paragraphs>16</Paragraphs>
  <TotalTime>5</TotalTime>
  <ScaleCrop>false</ScaleCrop>
  <LinksUpToDate>false</LinksUpToDate>
  <CharactersWithSpaces>4531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2024-12-05T08:10:34Z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